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6224588" cy="345270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6"/>
                    <a:srcRect b="8169" l="2297" r="7094" t="3661"/>
                    <a:stretch>
                      <a:fillRect/>
                    </a:stretch>
                  </pic:blipFill>
                  <pic:spPr>
                    <a:xfrm>
                      <a:off x="0" y="0"/>
                      <a:ext cx="6224588" cy="3452701"/>
                    </a:xfrm>
                    <a:prstGeom prst="rect"/>
                    <a:ln/>
                  </pic:spPr>
                </pic:pic>
              </a:graphicData>
            </a:graphic>
          </wp:anchor>
        </w:drawing>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Figure 1.</w:t>
      </w:r>
      <w:r w:rsidDel="00000000" w:rsidR="00000000" w:rsidRPr="00000000">
        <w:rPr>
          <w:sz w:val="20"/>
          <w:szCs w:val="20"/>
          <w:rtl w:val="0"/>
        </w:rPr>
        <w:t xml:space="preserve"> The relationship between the size of the maternal pelvis and the size of the infant’s head at the time of birth in eight primate species. Left to right, top row: spider monkey (</w:t>
      </w:r>
      <w:r w:rsidDel="00000000" w:rsidR="00000000" w:rsidRPr="00000000">
        <w:rPr>
          <w:i w:val="1"/>
          <w:sz w:val="20"/>
          <w:szCs w:val="20"/>
          <w:rtl w:val="0"/>
        </w:rPr>
        <w:t xml:space="preserve">Ateles</w:t>
      </w:r>
      <w:r w:rsidDel="00000000" w:rsidR="00000000" w:rsidRPr="00000000">
        <w:rPr>
          <w:sz w:val="20"/>
          <w:szCs w:val="20"/>
          <w:rtl w:val="0"/>
        </w:rPr>
        <w:t xml:space="preserve">), proboscis monkey (</w:t>
      </w:r>
      <w:r w:rsidDel="00000000" w:rsidR="00000000" w:rsidRPr="00000000">
        <w:rPr>
          <w:i w:val="1"/>
          <w:sz w:val="20"/>
          <w:szCs w:val="20"/>
          <w:rtl w:val="0"/>
        </w:rPr>
        <w:t xml:space="preserve">Nasalis</w:t>
      </w:r>
      <w:r w:rsidDel="00000000" w:rsidR="00000000" w:rsidRPr="00000000">
        <w:rPr>
          <w:sz w:val="20"/>
          <w:szCs w:val="20"/>
          <w:rtl w:val="0"/>
        </w:rPr>
        <w:t xml:space="preserve">), macaque (</w:t>
      </w:r>
      <w:r w:rsidDel="00000000" w:rsidR="00000000" w:rsidRPr="00000000">
        <w:rPr>
          <w:i w:val="1"/>
          <w:sz w:val="20"/>
          <w:szCs w:val="20"/>
          <w:rtl w:val="0"/>
        </w:rPr>
        <w:t xml:space="preserve">Macaca</w:t>
      </w:r>
      <w:r w:rsidDel="00000000" w:rsidR="00000000" w:rsidRPr="00000000">
        <w:rPr>
          <w:sz w:val="20"/>
          <w:szCs w:val="20"/>
          <w:rtl w:val="0"/>
        </w:rPr>
        <w:t xml:space="preserve">), and gibbon (</w:t>
      </w:r>
      <w:r w:rsidDel="00000000" w:rsidR="00000000" w:rsidRPr="00000000">
        <w:rPr>
          <w:i w:val="1"/>
          <w:sz w:val="20"/>
          <w:szCs w:val="20"/>
          <w:rtl w:val="0"/>
        </w:rPr>
        <w:t xml:space="preserve">Hylobates</w:t>
      </w:r>
      <w:r w:rsidDel="00000000" w:rsidR="00000000" w:rsidRPr="00000000">
        <w:rPr>
          <w:sz w:val="20"/>
          <w:szCs w:val="20"/>
          <w:rtl w:val="0"/>
        </w:rPr>
        <w:t xml:space="preserve">). Left to right, bottom row: orangutan (</w:t>
      </w:r>
      <w:r w:rsidDel="00000000" w:rsidR="00000000" w:rsidRPr="00000000">
        <w:rPr>
          <w:i w:val="1"/>
          <w:sz w:val="20"/>
          <w:szCs w:val="20"/>
          <w:rtl w:val="0"/>
        </w:rPr>
        <w:t xml:space="preserve">Pongo</w:t>
      </w:r>
      <w:r w:rsidDel="00000000" w:rsidR="00000000" w:rsidRPr="00000000">
        <w:rPr>
          <w:sz w:val="20"/>
          <w:szCs w:val="20"/>
          <w:rtl w:val="0"/>
        </w:rPr>
        <w:t xml:space="preserve">), chimpanzee (</w:t>
      </w:r>
      <w:r w:rsidDel="00000000" w:rsidR="00000000" w:rsidRPr="00000000">
        <w:rPr>
          <w:i w:val="1"/>
          <w:sz w:val="20"/>
          <w:szCs w:val="20"/>
          <w:rtl w:val="0"/>
        </w:rPr>
        <w:t xml:space="preserve">Pan</w:t>
      </w:r>
      <w:r w:rsidDel="00000000" w:rsidR="00000000" w:rsidRPr="00000000">
        <w:rPr>
          <w:sz w:val="20"/>
          <w:szCs w:val="20"/>
          <w:rtl w:val="0"/>
        </w:rPr>
        <w:t xml:space="preserve">), gorilla (</w:t>
      </w:r>
      <w:r w:rsidDel="00000000" w:rsidR="00000000" w:rsidRPr="00000000">
        <w:rPr>
          <w:i w:val="1"/>
          <w:sz w:val="20"/>
          <w:szCs w:val="20"/>
          <w:rtl w:val="0"/>
        </w:rPr>
        <w:t xml:space="preserve">Gorilla</w:t>
      </w:r>
      <w:r w:rsidDel="00000000" w:rsidR="00000000" w:rsidRPr="00000000">
        <w:rPr>
          <w:sz w:val="20"/>
          <w:szCs w:val="20"/>
          <w:rtl w:val="0"/>
        </w:rPr>
        <w:t xml:space="preserve">), and human (</w:t>
      </w:r>
      <w:r w:rsidDel="00000000" w:rsidR="00000000" w:rsidRPr="00000000">
        <w:rPr>
          <w:i w:val="1"/>
          <w:sz w:val="20"/>
          <w:szCs w:val="20"/>
          <w:rtl w:val="0"/>
        </w:rPr>
        <w:t xml:space="preserve">Homo</w:t>
      </w:r>
      <w:r w:rsidDel="00000000" w:rsidR="00000000" w:rsidRPr="00000000">
        <w:rPr>
          <w:sz w:val="20"/>
          <w:szCs w:val="20"/>
          <w:rtl w:val="0"/>
        </w:rPr>
        <w:t xml:space="preserve">).</w:t>
      </w:r>
    </w:p>
    <w:p w:rsidR="00000000" w:rsidDel="00000000" w:rsidP="00000000" w:rsidRDefault="00000000" w:rsidRPr="00000000" w14:paraId="00000003">
      <w:pPr>
        <w:rPr>
          <w:b w:val="1"/>
        </w:rPr>
      </w:pPr>
      <w:r w:rsidDel="00000000" w:rsidR="00000000" w:rsidRPr="00000000">
        <w:rPr>
          <w:sz w:val="20"/>
          <w:szCs w:val="20"/>
          <w:rtl w:val="0"/>
        </w:rPr>
        <w:t xml:space="preserve">Figure adapted from:</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Rosenberg &amp; Trevathan 1995 </w:t>
        </w:r>
      </w:hyperlink>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Pr>
        <w:drawing>
          <wp:inline distB="114300" distT="114300" distL="114300" distR="114300">
            <wp:extent cx="4387215" cy="2841508"/>
            <wp:effectExtent b="0" l="0" r="0" t="0"/>
            <wp:docPr id="3" name="image2.png"/>
            <a:graphic>
              <a:graphicData uri="http://schemas.openxmlformats.org/drawingml/2006/picture">
                <pic:pic>
                  <pic:nvPicPr>
                    <pic:cNvPr id="0" name="image2.png"/>
                    <pic:cNvPicPr preferRelativeResize="0"/>
                  </pic:nvPicPr>
                  <pic:blipFill>
                    <a:blip r:embed="rId9"/>
                    <a:srcRect b="5563" l="5418" r="1891" t="13750"/>
                    <a:stretch>
                      <a:fillRect/>
                    </a:stretch>
                  </pic:blipFill>
                  <pic:spPr>
                    <a:xfrm>
                      <a:off x="0" y="0"/>
                      <a:ext cx="4387215" cy="284150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Figure 2. </w:t>
      </w:r>
      <w:r w:rsidDel="00000000" w:rsidR="00000000" w:rsidRPr="00000000">
        <w:rPr>
          <w:sz w:val="20"/>
          <w:szCs w:val="20"/>
          <w:rtl w:val="0"/>
        </w:rPr>
        <w:t xml:space="preserve">The energetic costs of locomotion (walking and running) in male and female humans. On average, the female pelvis is wider than the male pelvis. Information on how to interpret a box plot is included on the graph.</w:t>
      </w:r>
    </w:p>
    <w:p w:rsidR="00000000" w:rsidDel="00000000" w:rsidP="00000000" w:rsidRDefault="00000000" w:rsidRPr="00000000" w14:paraId="0000000B">
      <w:pPr>
        <w:rPr>
          <w:b w:val="1"/>
        </w:rPr>
      </w:pPr>
      <w:r w:rsidDel="00000000" w:rsidR="00000000" w:rsidRPr="00000000">
        <w:rPr>
          <w:sz w:val="20"/>
          <w:szCs w:val="20"/>
          <w:rtl w:val="0"/>
        </w:rPr>
        <w:t xml:space="preserve">Figure adapted from:</w:t>
      </w:r>
      <w:hyperlink r:id="rId10">
        <w:r w:rsidDel="00000000" w:rsidR="00000000" w:rsidRPr="00000000">
          <w:rPr>
            <w:sz w:val="20"/>
            <w:szCs w:val="20"/>
            <w:rtl w:val="0"/>
          </w:rPr>
          <w:t xml:space="preserve"> </w:t>
        </w:r>
      </w:hyperlink>
      <w:hyperlink r:id="rId11">
        <w:r w:rsidDel="00000000" w:rsidR="00000000" w:rsidRPr="00000000">
          <w:rPr>
            <w:color w:val="1155cc"/>
            <w:sz w:val="20"/>
            <w:szCs w:val="20"/>
            <w:u w:val="single"/>
            <w:rtl w:val="0"/>
          </w:rPr>
          <w:t xml:space="preserve">Warrener et al. 2015</w:t>
        </w:r>
      </w:hyperlink>
      <w:r w:rsidDel="00000000" w:rsidR="00000000" w:rsidRPr="00000000">
        <w:rPr>
          <w:b w:val="1"/>
          <w:rtl w:val="0"/>
        </w:rPr>
        <w:t xml:space="preserve"> </w:t>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Figure 3. </w:t>
      </w:r>
      <w:r w:rsidDel="00000000" w:rsidR="00000000" w:rsidRPr="00000000">
        <w:rPr>
          <w:sz w:val="20"/>
          <w:szCs w:val="20"/>
          <w:rtl w:val="0"/>
        </w:rPr>
        <w:t xml:space="preserve">The relationship between adult brain mass and the percentage of brain growth that is completed prior to birth in Old World monkeys and apes. The points representing humans and chimpanzees are indicated on the graph.</w:t>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200025</wp:posOffset>
            </wp:positionV>
            <wp:extent cx="6243638" cy="34119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243638" cy="3411988"/>
                    </a:xfrm>
                    <a:prstGeom prst="rect"/>
                    <a:ln/>
                  </pic:spPr>
                </pic:pic>
              </a:graphicData>
            </a:graphic>
          </wp:anchor>
        </w:drawing>
      </w:r>
    </w:p>
    <w:p w:rsidR="00000000" w:rsidDel="00000000" w:rsidP="00000000" w:rsidRDefault="00000000" w:rsidRPr="00000000" w14:paraId="0000000D">
      <w:pPr>
        <w:rPr>
          <w:color w:val="1155cc"/>
          <w:sz w:val="20"/>
          <w:szCs w:val="20"/>
          <w:u w:val="single"/>
        </w:rPr>
      </w:pPr>
      <w:r w:rsidDel="00000000" w:rsidR="00000000" w:rsidRPr="00000000">
        <w:rPr>
          <w:sz w:val="20"/>
          <w:szCs w:val="20"/>
          <w:rtl w:val="0"/>
        </w:rPr>
        <w:t xml:space="preserve">Figure adapted from:</w:t>
      </w:r>
      <w:hyperlink r:id="rId13">
        <w:r w:rsidDel="00000000" w:rsidR="00000000" w:rsidRPr="00000000">
          <w:rPr>
            <w:sz w:val="20"/>
            <w:szCs w:val="20"/>
            <w:rtl w:val="0"/>
          </w:rPr>
          <w:t xml:space="preserve"> </w:t>
        </w:r>
      </w:hyperlink>
      <w:hyperlink r:id="rId14">
        <w:r w:rsidDel="00000000" w:rsidR="00000000" w:rsidRPr="00000000">
          <w:rPr>
            <w:color w:val="1155cc"/>
            <w:sz w:val="20"/>
            <w:szCs w:val="20"/>
            <w:u w:val="single"/>
            <w:rtl w:val="0"/>
          </w:rPr>
          <w:t xml:space="preserve">DeSilva &amp; Leskin 2008</w:t>
        </w:r>
      </w:hyperlink>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journals.plos.org/plosone/article?id=10.1371/journal.pone.0118903" TargetMode="External"/><Relationship Id="rId10" Type="http://schemas.openxmlformats.org/officeDocument/2006/relationships/hyperlink" Target="https://journals.plos.org/plosone/article?id=10.1371/journal.pone.0118903" TargetMode="External"/><Relationship Id="rId13" Type="http://schemas.openxmlformats.org/officeDocument/2006/relationships/hyperlink" Target="https://www.sciencedirect.com/science/article/pii/S0047248408001401#fig3"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ciencedirect.com/science/article/pii/S0047248408001401#fig3"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onlinelibrary.wiley.com/doi/abs/10.1002/evan.1360040506" TargetMode="External"/><Relationship Id="rId8" Type="http://schemas.openxmlformats.org/officeDocument/2006/relationships/hyperlink" Target="https://onlinelibrary.wiley.com/doi/abs/10.1002/evan.136004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